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7103A80F"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4006E8">
        <w:rPr>
          <w:noProof w:val="0"/>
          <w:sz w:val="24"/>
          <w:szCs w:val="24"/>
        </w:rPr>
        <w:t>NR Adhoc #2</w:t>
      </w:r>
      <w:r w:rsidRPr="00B266B0">
        <w:rPr>
          <w:bCs/>
          <w:noProof w:val="0"/>
          <w:sz w:val="24"/>
          <w:szCs w:val="24"/>
        </w:rPr>
        <w:tab/>
      </w:r>
      <w:r w:rsidR="00292805" w:rsidRPr="00292805">
        <w:rPr>
          <w:bCs/>
          <w:noProof w:val="0"/>
          <w:sz w:val="24"/>
          <w:szCs w:val="24"/>
        </w:rPr>
        <w:t>R2-1706587</w:t>
      </w:r>
    </w:p>
    <w:p w14:paraId="231362B2" w14:textId="2EEADD5A" w:rsidR="00CD4C7B" w:rsidRPr="00B266B0" w:rsidRDefault="004006E8" w:rsidP="00CD4C7B">
      <w:pPr>
        <w:pStyle w:val="Header"/>
        <w:tabs>
          <w:tab w:val="right" w:pos="9639"/>
        </w:tabs>
        <w:rPr>
          <w:bCs/>
          <w:noProof w:val="0"/>
          <w:sz w:val="24"/>
          <w:szCs w:val="24"/>
        </w:rPr>
      </w:pPr>
      <w:r>
        <w:rPr>
          <w:rFonts w:eastAsia="宋体"/>
          <w:noProof w:val="0"/>
          <w:sz w:val="24"/>
          <w:szCs w:val="24"/>
          <w:lang w:eastAsia="zh-CN"/>
        </w:rPr>
        <w:t>Qingdao</w:t>
      </w:r>
      <w:r w:rsidR="00C24650" w:rsidRPr="00C24650">
        <w:rPr>
          <w:rFonts w:eastAsia="宋体"/>
          <w:noProof w:val="0"/>
          <w:sz w:val="24"/>
          <w:szCs w:val="24"/>
          <w:lang w:eastAsia="zh-CN"/>
        </w:rPr>
        <w:t xml:space="preserve">, </w:t>
      </w:r>
      <w:r w:rsidR="00C9068C">
        <w:rPr>
          <w:rFonts w:eastAsia="宋体"/>
          <w:noProof w:val="0"/>
          <w:sz w:val="24"/>
          <w:szCs w:val="24"/>
          <w:lang w:eastAsia="zh-CN"/>
        </w:rPr>
        <w:t>China</w:t>
      </w:r>
      <w:r w:rsidR="00C24650" w:rsidRPr="00C24650">
        <w:rPr>
          <w:rFonts w:eastAsia="宋体"/>
          <w:noProof w:val="0"/>
          <w:sz w:val="24"/>
          <w:szCs w:val="24"/>
          <w:lang w:eastAsia="zh-CN"/>
        </w:rPr>
        <w:t xml:space="preserve">, </w:t>
      </w:r>
      <w:r w:rsidR="00112F1A">
        <w:rPr>
          <w:rFonts w:eastAsia="宋体"/>
          <w:noProof w:val="0"/>
          <w:sz w:val="24"/>
          <w:szCs w:val="24"/>
          <w:lang w:eastAsia="zh-CN"/>
        </w:rPr>
        <w:t>27</w:t>
      </w:r>
      <w:r w:rsidR="00C92967">
        <w:rPr>
          <w:rFonts w:eastAsia="宋体"/>
          <w:noProof w:val="0"/>
          <w:sz w:val="24"/>
          <w:szCs w:val="24"/>
          <w:lang w:eastAsia="zh-CN"/>
        </w:rPr>
        <w:t xml:space="preserve"> - </w:t>
      </w:r>
      <w:r w:rsidR="00112F1A">
        <w:rPr>
          <w:rFonts w:eastAsia="宋体"/>
          <w:noProof w:val="0"/>
          <w:sz w:val="24"/>
          <w:szCs w:val="24"/>
          <w:lang w:eastAsia="zh-CN"/>
        </w:rPr>
        <w:t>29</w:t>
      </w:r>
      <w:r w:rsidR="00C92967">
        <w:rPr>
          <w:rFonts w:eastAsia="宋体"/>
          <w:noProof w:val="0"/>
          <w:sz w:val="24"/>
          <w:szCs w:val="24"/>
          <w:lang w:eastAsia="zh-CN"/>
        </w:rPr>
        <w:t xml:space="preserve"> </w:t>
      </w:r>
      <w:r w:rsidR="00112F1A">
        <w:rPr>
          <w:rFonts w:eastAsia="宋体"/>
          <w:noProof w:val="0"/>
          <w:sz w:val="24"/>
          <w:szCs w:val="24"/>
          <w:lang w:eastAsia="zh-CN"/>
        </w:rPr>
        <w:t>June</w:t>
      </w:r>
      <w:r w:rsidR="00813245">
        <w:rPr>
          <w:rFonts w:eastAsia="宋体"/>
          <w:noProof w:val="0"/>
          <w:sz w:val="24"/>
          <w:szCs w:val="24"/>
          <w:lang w:eastAsia="zh-CN"/>
        </w:rPr>
        <w:t xml:space="preserve"> </w:t>
      </w:r>
      <w:r w:rsidR="00C24650" w:rsidRPr="00C24650">
        <w:rPr>
          <w:rFonts w:eastAsia="宋体"/>
          <w:noProof w:val="0"/>
          <w:sz w:val="24"/>
          <w:szCs w:val="24"/>
          <w:lang w:eastAsia="zh-CN"/>
        </w:rPr>
        <w:t>201</w:t>
      </w:r>
      <w:r w:rsidR="00936071">
        <w:rPr>
          <w:rFonts w:eastAsia="宋体"/>
          <w:noProof w:val="0"/>
          <w:sz w:val="24"/>
          <w:szCs w:val="24"/>
          <w:lang w:eastAsia="zh-CN"/>
        </w:rPr>
        <w:t>7</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5B2C86E8"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7308A" w:rsidRPr="0027308A">
        <w:rPr>
          <w:rFonts w:cs="Arial"/>
          <w:b/>
          <w:bCs/>
          <w:sz w:val="24"/>
          <w:lang w:eastAsia="ja-JP"/>
        </w:rPr>
        <w:t>10.3.1.5</w:t>
      </w:r>
    </w:p>
    <w:p w14:paraId="6A1BC0C1"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45BE90BE" w14:textId="24BCEB00"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7308A">
        <w:rPr>
          <w:rFonts w:ascii="Arial" w:hAnsi="Arial" w:cs="Arial"/>
          <w:b/>
          <w:bCs/>
          <w:sz w:val="24"/>
        </w:rPr>
        <w:t xml:space="preserve">Details </w:t>
      </w:r>
      <w:r w:rsidR="00A87BF0">
        <w:rPr>
          <w:rFonts w:ascii="Arial" w:hAnsi="Arial" w:cs="Arial"/>
          <w:b/>
          <w:bCs/>
          <w:sz w:val="24"/>
        </w:rPr>
        <w:t>on</w:t>
      </w:r>
      <w:r w:rsidR="0027308A">
        <w:rPr>
          <w:rFonts w:ascii="Arial" w:hAnsi="Arial" w:cs="Arial"/>
          <w:b/>
          <w:bCs/>
          <w:sz w:val="24"/>
        </w:rPr>
        <w:t xml:space="preserve"> multiple SR configurations</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46CADE3B" w14:textId="3503B72B" w:rsidR="00B27B9D" w:rsidRDefault="00B27B9D" w:rsidP="00CD4C7B">
      <w:r>
        <w:t>Multiple SR configurations was agreed during the RAN2 #98 meeting</w:t>
      </w:r>
      <w:r w:rsidR="00514FB9">
        <w:t xml:space="preserve"> [1]</w:t>
      </w:r>
      <w:r>
        <w:t>:</w:t>
      </w:r>
    </w:p>
    <w:p w14:paraId="7F640E79" w14:textId="77777777" w:rsidR="00B27B9D" w:rsidRPr="00CC34FB" w:rsidRDefault="00B27B9D" w:rsidP="00B27B9D">
      <w:pPr>
        <w:pStyle w:val="Doc-text2"/>
        <w:pBdr>
          <w:top w:val="single" w:sz="4" w:space="1" w:color="auto"/>
          <w:left w:val="single" w:sz="4" w:space="4" w:color="auto"/>
          <w:bottom w:val="single" w:sz="4" w:space="1" w:color="auto"/>
          <w:right w:val="single" w:sz="4" w:space="4" w:color="auto"/>
        </w:pBdr>
        <w:rPr>
          <w:b/>
        </w:rPr>
      </w:pPr>
      <w:r w:rsidRPr="00CC34FB">
        <w:rPr>
          <w:b/>
        </w:rPr>
        <w:t>Agreements</w:t>
      </w:r>
    </w:p>
    <w:p w14:paraId="3C8C2714" w14:textId="77777777" w:rsidR="00B27B9D" w:rsidRPr="000231C3" w:rsidRDefault="00B27B9D" w:rsidP="00B27B9D">
      <w:pPr>
        <w:pStyle w:val="Doc-text2"/>
        <w:pBdr>
          <w:top w:val="single" w:sz="4" w:space="1" w:color="auto"/>
          <w:left w:val="single" w:sz="4" w:space="4" w:color="auto"/>
          <w:bottom w:val="single" w:sz="4" w:space="1" w:color="auto"/>
          <w:right w:val="single" w:sz="4" w:space="4" w:color="auto"/>
        </w:pBdr>
        <w:rPr>
          <w:lang w:eastAsia="zh-CN"/>
        </w:rPr>
      </w:pPr>
      <w:r>
        <w:t>1.</w:t>
      </w:r>
      <w:r w:rsidRPr="000231C3">
        <w:tab/>
      </w:r>
      <w:r w:rsidRPr="000231C3">
        <w:rPr>
          <w:lang w:eastAsia="zh-CN"/>
        </w:rPr>
        <w:t>Multiple SR configurations can be configured to the UE and which SR configuration is used depends on the LCH that triggers the SR.</w:t>
      </w:r>
      <w:r>
        <w:rPr>
          <w:lang w:eastAsia="zh-CN"/>
        </w:rPr>
        <w:t xml:space="preserve">  The granularity of SR configuration for a logical channel is FFS.</w:t>
      </w:r>
    </w:p>
    <w:p w14:paraId="67C3EC20" w14:textId="77777777" w:rsidR="00B27B9D" w:rsidRDefault="00B27B9D" w:rsidP="00B27B9D">
      <w:pPr>
        <w:pStyle w:val="Doc-text2"/>
        <w:pBdr>
          <w:top w:val="single" w:sz="4" w:space="1" w:color="auto"/>
          <w:left w:val="single" w:sz="4" w:space="4" w:color="auto"/>
          <w:bottom w:val="single" w:sz="4" w:space="1" w:color="auto"/>
          <w:right w:val="single" w:sz="4" w:space="4" w:color="auto"/>
        </w:pBdr>
        <w:rPr>
          <w:lang w:eastAsia="zh-CN"/>
        </w:rPr>
      </w:pPr>
      <w:r>
        <w:rPr>
          <w:lang w:eastAsia="zh-CN"/>
        </w:rPr>
        <w:t xml:space="preserve">2. </w:t>
      </w:r>
      <w:r w:rsidRPr="00A82268">
        <w:rPr>
          <w:lang w:eastAsia="zh-CN"/>
        </w:rPr>
        <w:tab/>
        <w:t>From RAN2 point of view a single bit SR</w:t>
      </w:r>
      <w:r>
        <w:rPr>
          <w:lang w:eastAsia="zh-CN"/>
        </w:rPr>
        <w:t xml:space="preserve"> with multiple SR configuration</w:t>
      </w:r>
      <w:r w:rsidRPr="00A82268">
        <w:rPr>
          <w:lang w:eastAsia="zh-CN"/>
        </w:rPr>
        <w:t xml:space="preserve"> is sufficient to distinguish the “numerology/TTI</w:t>
      </w:r>
      <w:r>
        <w:rPr>
          <w:lang w:eastAsia="zh-CN"/>
        </w:rPr>
        <w:t xml:space="preserve"> length</w:t>
      </w:r>
      <w:r w:rsidRPr="00A82268">
        <w:rPr>
          <w:lang w:eastAsia="zh-CN"/>
        </w:rPr>
        <w:t xml:space="preserve">” of the logical channel that trigger the SR.  </w:t>
      </w:r>
      <w:r>
        <w:rPr>
          <w:lang w:eastAsia="zh-CN"/>
        </w:rPr>
        <w:t xml:space="preserve">RAN2 has not identified other use cases for which multibit SR is need with sufficient support.  </w:t>
      </w:r>
    </w:p>
    <w:p w14:paraId="62467ADD" w14:textId="77777777" w:rsidR="00B27B9D" w:rsidRDefault="00B27B9D" w:rsidP="00B27B9D">
      <w:pPr>
        <w:pStyle w:val="Doc-text2"/>
        <w:pBdr>
          <w:top w:val="single" w:sz="4" w:space="1" w:color="auto"/>
          <w:left w:val="single" w:sz="4" w:space="4" w:color="auto"/>
          <w:bottom w:val="single" w:sz="4" w:space="1" w:color="auto"/>
          <w:right w:val="single" w:sz="4" w:space="4" w:color="auto"/>
        </w:pBdr>
        <w:rPr>
          <w:lang w:eastAsia="zh-CN"/>
        </w:rPr>
      </w:pPr>
      <w:r>
        <w:rPr>
          <w:lang w:eastAsia="zh-CN"/>
        </w:rPr>
        <w:t>3.</w:t>
      </w:r>
      <w:r>
        <w:rPr>
          <w:lang w:eastAsia="zh-CN"/>
        </w:rPr>
        <w:tab/>
      </w:r>
      <w:r w:rsidRPr="00A82268">
        <w:rPr>
          <w:lang w:eastAsia="zh-CN"/>
        </w:rPr>
        <w:t>RAN2</w:t>
      </w:r>
      <w:r>
        <w:rPr>
          <w:lang w:eastAsia="zh-CN"/>
        </w:rPr>
        <w:t xml:space="preserve"> does not see the </w:t>
      </w:r>
      <w:r w:rsidRPr="00A82268">
        <w:rPr>
          <w:lang w:eastAsia="zh-CN"/>
        </w:rPr>
        <w:t>need to convey buffer status information</w:t>
      </w:r>
      <w:r>
        <w:rPr>
          <w:lang w:eastAsia="zh-CN"/>
        </w:rPr>
        <w:t xml:space="preserve">.  </w:t>
      </w:r>
    </w:p>
    <w:p w14:paraId="44E45810" w14:textId="77777777" w:rsidR="00B27B9D" w:rsidRPr="00A82268" w:rsidRDefault="00B27B9D" w:rsidP="00B27B9D">
      <w:pPr>
        <w:pStyle w:val="Doc-text2"/>
        <w:pBdr>
          <w:top w:val="single" w:sz="4" w:space="1" w:color="auto"/>
          <w:left w:val="single" w:sz="4" w:space="4" w:color="auto"/>
          <w:bottom w:val="single" w:sz="4" w:space="1" w:color="auto"/>
          <w:right w:val="single" w:sz="4" w:space="4" w:color="auto"/>
        </w:pBdr>
        <w:rPr>
          <w:lang w:eastAsia="zh-CN"/>
        </w:rPr>
      </w:pPr>
      <w:r>
        <w:rPr>
          <w:lang w:eastAsia="zh-CN"/>
        </w:rPr>
        <w:t xml:space="preserve">4. </w:t>
      </w:r>
      <w:r>
        <w:rPr>
          <w:lang w:eastAsia="zh-CN"/>
        </w:rPr>
        <w:tab/>
        <w:t xml:space="preserve">Send LS to RAN1 to indicate to RAN1 that RAN2 doesn’t see the need to support multi-bit SR. </w:t>
      </w:r>
    </w:p>
    <w:p w14:paraId="656ABE2D" w14:textId="77777777" w:rsidR="00A1647B" w:rsidRDefault="00A1647B" w:rsidP="00CD4C7B">
      <w:r>
        <w:t>Besides, for LCP, it was agreed:</w:t>
      </w:r>
    </w:p>
    <w:p w14:paraId="7A52F814" w14:textId="77777777" w:rsidR="00A1647B" w:rsidRPr="002E4D34" w:rsidRDefault="00A1647B" w:rsidP="00A1647B">
      <w:pPr>
        <w:pStyle w:val="Doc-text2"/>
        <w:pBdr>
          <w:top w:val="single" w:sz="4" w:space="1" w:color="auto"/>
          <w:left w:val="single" w:sz="4" w:space="4" w:color="auto"/>
          <w:bottom w:val="single" w:sz="4" w:space="1" w:color="auto"/>
          <w:right w:val="single" w:sz="4" w:space="4" w:color="auto"/>
        </w:pBdr>
      </w:pPr>
      <w:r>
        <w:t>Agreements</w:t>
      </w:r>
    </w:p>
    <w:p w14:paraId="5C041C56" w14:textId="77777777" w:rsidR="00A1647B" w:rsidRDefault="00A1647B" w:rsidP="00A1647B">
      <w:pPr>
        <w:pStyle w:val="Doc-text2"/>
        <w:pBdr>
          <w:top w:val="single" w:sz="4" w:space="1" w:color="auto"/>
          <w:left w:val="single" w:sz="4" w:space="4" w:color="auto"/>
          <w:bottom w:val="single" w:sz="4" w:space="1" w:color="auto"/>
          <w:right w:val="single" w:sz="4" w:space="4" w:color="auto"/>
        </w:pBdr>
      </w:pPr>
      <w:r>
        <w:t>1.</w:t>
      </w:r>
      <w:r>
        <w:tab/>
        <w:t xml:space="preserve">For LCP and to know which restrictions to use the MAC needs to be aware of more information than just TTI length (e.g. numerology). An abstraction based on index or profiles can be supported.   Exact parameters are FFS.  </w:t>
      </w:r>
    </w:p>
    <w:p w14:paraId="1D1055E1" w14:textId="77777777" w:rsidR="004B4637" w:rsidRDefault="004B4637" w:rsidP="00CD4C7B"/>
    <w:p w14:paraId="72B39864" w14:textId="734AF11A" w:rsidR="00B27B9D" w:rsidRDefault="00B27B9D" w:rsidP="00CD4C7B">
      <w:r>
        <w:t>In this contribution, w</w:t>
      </w:r>
      <w:r w:rsidR="00D64E1B">
        <w:t>e further discussed the details</w:t>
      </w:r>
      <w:r w:rsidR="00A1647B">
        <w:t xml:space="preserve"> on multiple SR configurations</w:t>
      </w:r>
      <w:r w:rsidR="00D64E1B">
        <w:t>.</w:t>
      </w:r>
    </w:p>
    <w:p w14:paraId="127ACA6D" w14:textId="311CDDA1" w:rsidR="00CD4C7B" w:rsidRPr="006E13D1" w:rsidRDefault="00CD4C7B" w:rsidP="00CD4C7B">
      <w:pPr>
        <w:pStyle w:val="Heading1"/>
      </w:pPr>
      <w:r w:rsidRPr="006E13D1">
        <w:t>2</w:t>
      </w:r>
      <w:r w:rsidRPr="006E13D1">
        <w:tab/>
      </w:r>
      <w:r w:rsidR="00B27B9D">
        <w:t>Discussion</w:t>
      </w:r>
    </w:p>
    <w:p w14:paraId="03059FDE" w14:textId="29D2AA7D" w:rsidR="00A1647B" w:rsidRPr="006E13D1" w:rsidRDefault="00A1647B" w:rsidP="00A1647B">
      <w:pPr>
        <w:pStyle w:val="Heading2"/>
      </w:pPr>
      <w:r>
        <w:t>2</w:t>
      </w:r>
      <w:r w:rsidRPr="006E13D1">
        <w:t>.1</w:t>
      </w:r>
      <w:r w:rsidRPr="006E13D1">
        <w:tab/>
      </w:r>
      <w:r>
        <w:t>SR configuration mapping</w:t>
      </w:r>
    </w:p>
    <w:p w14:paraId="00C6121F" w14:textId="60CDEC7E" w:rsidR="0049178F" w:rsidRDefault="000777E0" w:rsidP="000777E0">
      <w:pPr>
        <w:pStyle w:val="B1"/>
        <w:ind w:left="0" w:firstLine="0"/>
      </w:pPr>
      <w:r>
        <w:t>It should be valid</w:t>
      </w:r>
      <w:r w:rsidRPr="000777E0">
        <w:t xml:space="preserve"> case</w:t>
      </w:r>
      <w:r w:rsidR="0049178F">
        <w:t>s</w:t>
      </w:r>
      <w:r w:rsidRPr="000777E0">
        <w:t xml:space="preserve"> that </w:t>
      </w:r>
    </w:p>
    <w:p w14:paraId="5F921220" w14:textId="503BBF72" w:rsidR="0049178F" w:rsidRDefault="000777E0" w:rsidP="0049178F">
      <w:pPr>
        <w:pStyle w:val="B1"/>
        <w:numPr>
          <w:ilvl w:val="0"/>
          <w:numId w:val="5"/>
        </w:numPr>
      </w:pPr>
      <w:r w:rsidRPr="0049178F">
        <w:t>the number of cells/numerologies the UE is configured with is larger than the number of logical channels</w:t>
      </w:r>
      <w:r w:rsidR="00064EE6">
        <w:t>;</w:t>
      </w:r>
      <w:r w:rsidR="00A87BF0" w:rsidRPr="0049178F">
        <w:t xml:space="preserve"> </w:t>
      </w:r>
    </w:p>
    <w:p w14:paraId="12BB28C6" w14:textId="0A105054" w:rsidR="0049178F" w:rsidRDefault="000777E0" w:rsidP="0049178F">
      <w:pPr>
        <w:pStyle w:val="B1"/>
        <w:numPr>
          <w:ilvl w:val="0"/>
          <w:numId w:val="5"/>
        </w:numPr>
      </w:pPr>
      <w:r w:rsidRPr="0049178F">
        <w:t>one logical channel can be map</w:t>
      </w:r>
      <w:r w:rsidR="00861810">
        <w:t xml:space="preserve">ped to multiple cells, </w:t>
      </w:r>
      <w:r w:rsidRPr="0049178F">
        <w:t>numerologies</w:t>
      </w:r>
      <w:r w:rsidR="00861810">
        <w:t xml:space="preserve"> and TTI lengths</w:t>
      </w:r>
      <w:r w:rsidR="00064EE6">
        <w:t>;</w:t>
      </w:r>
      <w:r w:rsidRPr="0049178F">
        <w:t xml:space="preserve"> </w:t>
      </w:r>
      <w:r w:rsidR="0049178F">
        <w:t>and</w:t>
      </w:r>
    </w:p>
    <w:p w14:paraId="7D6FFCF4" w14:textId="24AACF5C" w:rsidR="0049178F" w:rsidRDefault="000777E0" w:rsidP="0049178F">
      <w:pPr>
        <w:pStyle w:val="B1"/>
        <w:numPr>
          <w:ilvl w:val="0"/>
          <w:numId w:val="5"/>
        </w:numPr>
      </w:pPr>
      <w:r w:rsidRPr="0049178F">
        <w:t>different logical channels can have same mapping</w:t>
      </w:r>
      <w:r w:rsidR="00A1647B">
        <w:t xml:space="preserve"> to numerologies/TTI length</w:t>
      </w:r>
      <w:r w:rsidRPr="0049178F">
        <w:t xml:space="preserve">. </w:t>
      </w:r>
    </w:p>
    <w:p w14:paraId="6725447D" w14:textId="5AF2E15B" w:rsidR="00813A59" w:rsidRDefault="00000ABE" w:rsidP="00000ABE">
      <w:pPr>
        <w:pStyle w:val="B1"/>
        <w:ind w:left="0" w:firstLine="0"/>
      </w:pPr>
      <w:r>
        <w:t>For example, a</w:t>
      </w:r>
      <w:r w:rsidR="00813A59">
        <w:t xml:space="preserve"> UE </w:t>
      </w:r>
      <w:r>
        <w:t>can be</w:t>
      </w:r>
      <w:r w:rsidR="00813A59">
        <w:t xml:space="preserve"> configured with:</w:t>
      </w:r>
    </w:p>
    <w:p w14:paraId="39884DB7" w14:textId="535A353E" w:rsidR="00813A59" w:rsidRDefault="00813A59" w:rsidP="00813A59">
      <w:pPr>
        <w:pStyle w:val="B1"/>
        <w:numPr>
          <w:ilvl w:val="0"/>
          <w:numId w:val="5"/>
        </w:numPr>
      </w:pPr>
      <w:r w:rsidRPr="001B58B8">
        <w:rPr>
          <w:b/>
        </w:rPr>
        <w:t>PCell</w:t>
      </w:r>
      <w:r>
        <w:t xml:space="preserve">: </w:t>
      </w:r>
      <w:r w:rsidR="00000ABE">
        <w:t xml:space="preserve">numerology 1 of </w:t>
      </w:r>
      <w:r>
        <w:t>15kHz subcarrier spacing, with 1ms TTI length, 0.5ms TTI length (slot), 0.25ms TTI length (mini-slot);</w:t>
      </w:r>
    </w:p>
    <w:p w14:paraId="79B37391" w14:textId="054892C7" w:rsidR="00813A59" w:rsidRDefault="00813A59" w:rsidP="00813A59">
      <w:pPr>
        <w:pStyle w:val="B1"/>
        <w:numPr>
          <w:ilvl w:val="0"/>
          <w:numId w:val="5"/>
        </w:numPr>
      </w:pPr>
      <w:r w:rsidRPr="001B58B8">
        <w:rPr>
          <w:b/>
        </w:rPr>
        <w:t>S</w:t>
      </w:r>
      <w:r w:rsidR="001B58B8">
        <w:rPr>
          <w:b/>
        </w:rPr>
        <w:t>Cell</w:t>
      </w:r>
      <w:r w:rsidRPr="001B58B8">
        <w:rPr>
          <w:b/>
        </w:rPr>
        <w:t>1</w:t>
      </w:r>
      <w:r>
        <w:t xml:space="preserve">: numerology </w:t>
      </w:r>
      <w:r w:rsidR="00000ABE">
        <w:t xml:space="preserve">2 of </w:t>
      </w:r>
      <w:r>
        <w:t>30kHz subcarrier spacing</w:t>
      </w:r>
      <w:r w:rsidR="001B58B8">
        <w:t xml:space="preserve"> with </w:t>
      </w:r>
      <w:r>
        <w:t>0.5ms TTI length;</w:t>
      </w:r>
    </w:p>
    <w:p w14:paraId="13747277" w14:textId="67B98477" w:rsidR="00813A59" w:rsidRDefault="00813A59" w:rsidP="00813A59">
      <w:pPr>
        <w:pStyle w:val="B1"/>
        <w:numPr>
          <w:ilvl w:val="0"/>
          <w:numId w:val="5"/>
        </w:numPr>
      </w:pPr>
      <w:r w:rsidRPr="001B58B8">
        <w:rPr>
          <w:b/>
        </w:rPr>
        <w:t>SCell</w:t>
      </w:r>
      <w:r w:rsidR="00000ABE" w:rsidRPr="001B58B8">
        <w:rPr>
          <w:b/>
        </w:rPr>
        <w:t>2</w:t>
      </w:r>
      <w:r w:rsidR="00000ABE">
        <w:t xml:space="preserve">: numerology 3 of </w:t>
      </w:r>
      <w:r>
        <w:t>60kHz subcarrier spacing</w:t>
      </w:r>
      <w:r w:rsidR="001B58B8">
        <w:t xml:space="preserve"> with</w:t>
      </w:r>
      <w:r>
        <w:t xml:space="preserve"> 0.25ms TTI length;</w:t>
      </w:r>
    </w:p>
    <w:p w14:paraId="531BA89D" w14:textId="462885E5" w:rsidR="000777E0" w:rsidRDefault="000777E0" w:rsidP="00813A59">
      <w:pPr>
        <w:pStyle w:val="B1"/>
        <w:numPr>
          <w:ilvl w:val="0"/>
          <w:numId w:val="5"/>
        </w:numPr>
      </w:pPr>
      <w:r w:rsidRPr="000777E0">
        <w:rPr>
          <w:b/>
        </w:rPr>
        <w:t>SCell3</w:t>
      </w:r>
      <w:r>
        <w:t xml:space="preserve">: numerology 4 of 120kHz subcarrier spacing with 0.125ms TTI length; </w:t>
      </w:r>
    </w:p>
    <w:p w14:paraId="6757F929" w14:textId="345877A5" w:rsidR="00813A59" w:rsidRDefault="00813A59" w:rsidP="00813A59">
      <w:pPr>
        <w:pStyle w:val="B1"/>
        <w:numPr>
          <w:ilvl w:val="0"/>
          <w:numId w:val="5"/>
        </w:numPr>
      </w:pPr>
      <w:r w:rsidRPr="001B58B8">
        <w:rPr>
          <w:b/>
        </w:rPr>
        <w:lastRenderedPageBreak/>
        <w:t>LCH1</w:t>
      </w:r>
      <w:r w:rsidR="00000ABE">
        <w:t xml:space="preserve"> (</w:t>
      </w:r>
      <w:r w:rsidR="00DC0C8F" w:rsidRPr="00DC0C8F">
        <w:t>SRB</w:t>
      </w:r>
      <w:r w:rsidR="00000ABE">
        <w:t>)</w:t>
      </w:r>
      <w:r w:rsidR="000777E0">
        <w:t xml:space="preserve"> and </w:t>
      </w:r>
      <w:r w:rsidR="000777E0" w:rsidRPr="000777E0">
        <w:rPr>
          <w:b/>
        </w:rPr>
        <w:t>LCH2</w:t>
      </w:r>
      <w:r w:rsidR="000777E0">
        <w:t xml:space="preserve"> (eMBB)</w:t>
      </w:r>
      <w:r>
        <w:t xml:space="preserve">: mapped to all numerology and </w:t>
      </w:r>
      <w:r w:rsidR="00000ABE">
        <w:t>all TTI length;</w:t>
      </w:r>
    </w:p>
    <w:p w14:paraId="2670B912" w14:textId="7826C926" w:rsidR="00000ABE" w:rsidRDefault="00000ABE" w:rsidP="00000ABE">
      <w:pPr>
        <w:pStyle w:val="B1"/>
        <w:numPr>
          <w:ilvl w:val="0"/>
          <w:numId w:val="5"/>
        </w:numPr>
      </w:pPr>
      <w:r w:rsidRPr="001B58B8">
        <w:rPr>
          <w:b/>
        </w:rPr>
        <w:t>LCH</w:t>
      </w:r>
      <w:r w:rsidR="000777E0">
        <w:rPr>
          <w:b/>
        </w:rPr>
        <w:t>3</w:t>
      </w:r>
      <w:r>
        <w:t xml:space="preserve"> (URLLC): mapped to numerology 1</w:t>
      </w:r>
      <w:r w:rsidR="003C4E1D">
        <w:t xml:space="preserve"> (PCell)</w:t>
      </w:r>
      <w:r>
        <w:t xml:space="preserve"> with 0.5 and 0.25 ms TTI length, numerology 2</w:t>
      </w:r>
      <w:r w:rsidR="003C4E1D">
        <w:t xml:space="preserve"> (SCell1)</w:t>
      </w:r>
      <w:r>
        <w:t xml:space="preserve"> with 0.5ms TTI length</w:t>
      </w:r>
      <w:r w:rsidR="003C4E1D">
        <w:t xml:space="preserve">, </w:t>
      </w:r>
      <w:r>
        <w:t>numerology 3</w:t>
      </w:r>
      <w:r w:rsidR="003C4E1D">
        <w:t xml:space="preserve"> (SCell 2)</w:t>
      </w:r>
      <w:r>
        <w:t xml:space="preserve"> with 0.25ms TTI length</w:t>
      </w:r>
      <w:r w:rsidR="003C4E1D">
        <w:t xml:space="preserve"> and</w:t>
      </w:r>
      <w:r w:rsidR="003C4E1D" w:rsidRPr="003C4E1D">
        <w:t xml:space="preserve"> </w:t>
      </w:r>
      <w:r w:rsidR="003C4E1D">
        <w:t>numerology 4 (SCell 3) with 0.125ms TTI length</w:t>
      </w:r>
      <w:r w:rsidR="00262198">
        <w:t>, i.e. all except 1ms TTI length on PCell</w:t>
      </w:r>
      <w:r>
        <w:t>.</w:t>
      </w:r>
    </w:p>
    <w:p w14:paraId="0FB6D7F9" w14:textId="0EDBB3AC" w:rsidR="00000ABE" w:rsidRDefault="00000ABE" w:rsidP="00000ABE">
      <w:pPr>
        <w:pStyle w:val="B1"/>
        <w:numPr>
          <w:ilvl w:val="0"/>
          <w:numId w:val="5"/>
        </w:numPr>
      </w:pPr>
      <w:r w:rsidRPr="001B58B8">
        <w:rPr>
          <w:b/>
        </w:rPr>
        <w:t>SR configuration #1</w:t>
      </w:r>
      <w:r>
        <w:t xml:space="preserve"> on PCell with </w:t>
      </w:r>
      <w:r w:rsidR="00562235">
        <w:t xml:space="preserve">TTI length 1ms and </w:t>
      </w:r>
      <w:r>
        <w:t xml:space="preserve">periodicity </w:t>
      </w:r>
      <w:r w:rsidR="00562235">
        <w:t xml:space="preserve">of </w:t>
      </w:r>
      <w:r>
        <w:t>X;</w:t>
      </w:r>
    </w:p>
    <w:p w14:paraId="012EEA2C" w14:textId="73C19077" w:rsidR="00000ABE" w:rsidRDefault="00000ABE" w:rsidP="00000ABE">
      <w:pPr>
        <w:pStyle w:val="B1"/>
        <w:numPr>
          <w:ilvl w:val="0"/>
          <w:numId w:val="5"/>
        </w:numPr>
      </w:pPr>
      <w:r w:rsidRPr="001B58B8">
        <w:rPr>
          <w:b/>
        </w:rPr>
        <w:t>SR configuration #2</w:t>
      </w:r>
      <w:r>
        <w:t xml:space="preserve"> on SCell1 with </w:t>
      </w:r>
      <w:r w:rsidR="00562235">
        <w:t xml:space="preserve">TTI length 0.5ms and </w:t>
      </w:r>
      <w:r>
        <w:t>periodicity</w:t>
      </w:r>
      <w:r w:rsidR="00562235">
        <w:t xml:space="preserve"> of</w:t>
      </w:r>
      <w:r>
        <w:t xml:space="preserve"> Y.</w:t>
      </w:r>
    </w:p>
    <w:p w14:paraId="697A6121" w14:textId="387C447C" w:rsidR="00000ABE" w:rsidRDefault="00AC55A0" w:rsidP="00000ABE">
      <w:pPr>
        <w:pStyle w:val="B1"/>
        <w:ind w:left="0" w:firstLine="0"/>
      </w:pPr>
      <w:r>
        <w:t>In the above example,</w:t>
      </w:r>
      <w:r w:rsidR="000777E0">
        <w:t xml:space="preserve"> </w:t>
      </w:r>
      <w:r w:rsidR="00384F78">
        <w:t>all the three LCHs can be sent on PCell and SCell1 where the two SR configurations are configured. T</w:t>
      </w:r>
      <w:r w:rsidR="000777E0">
        <w:t>he mapping for</w:t>
      </w:r>
      <w:r>
        <w:t xml:space="preserve"> </w:t>
      </w:r>
      <w:r w:rsidR="00562235">
        <w:t xml:space="preserve">LCH1 and LCH2 </w:t>
      </w:r>
      <w:r w:rsidR="0020008F">
        <w:t>are</w:t>
      </w:r>
      <w:r w:rsidR="000777E0">
        <w:t xml:space="preserve"> the same hence no need to distinguish them from SR point of view. </w:t>
      </w:r>
      <w:r w:rsidR="00DC0C8F">
        <w:t>The SR triggered by data ar</w:t>
      </w:r>
      <w:r w:rsidR="000777E0">
        <w:t>rival of LCH1/L</w:t>
      </w:r>
      <w:r w:rsidR="00DC0C8F">
        <w:t>CH2</w:t>
      </w:r>
      <w:r w:rsidR="000777E0">
        <w:t xml:space="preserve"> and LCH3 </w:t>
      </w:r>
      <w:r w:rsidR="00DC0C8F">
        <w:t xml:space="preserve">should select </w:t>
      </w:r>
      <w:r w:rsidR="00384F78">
        <w:t xml:space="preserve">different </w:t>
      </w:r>
      <w:r w:rsidR="00DC0C8F">
        <w:t xml:space="preserve">SR </w:t>
      </w:r>
      <w:r w:rsidR="00384F78">
        <w:t xml:space="preserve">configurations </w:t>
      </w:r>
      <w:r w:rsidR="0020008F">
        <w:t xml:space="preserve">though </w:t>
      </w:r>
      <w:r w:rsidR="00DC0C8F">
        <w:t>for</w:t>
      </w:r>
      <w:r w:rsidR="00927915">
        <w:t xml:space="preserve"> the gNB to </w:t>
      </w:r>
      <w:r w:rsidR="00562235">
        <w:t xml:space="preserve">distinguish </w:t>
      </w:r>
      <w:r w:rsidR="000777E0">
        <w:t>LCH1/</w:t>
      </w:r>
      <w:r w:rsidR="00927915">
        <w:t>LCH2</w:t>
      </w:r>
      <w:r w:rsidR="00562235">
        <w:t xml:space="preserve"> </w:t>
      </w:r>
      <w:r w:rsidR="000777E0">
        <w:t xml:space="preserve">from LCH3 </w:t>
      </w:r>
      <w:r w:rsidR="00927915">
        <w:t>and gives UL grant of correct numerology/TTI length correspondingly.</w:t>
      </w:r>
    </w:p>
    <w:p w14:paraId="48CC8D20" w14:textId="2055B8F4" w:rsidR="007A024E" w:rsidRDefault="003272E1" w:rsidP="007A024E">
      <w:pPr>
        <w:pStyle w:val="B1"/>
        <w:ind w:left="0" w:firstLine="0"/>
      </w:pPr>
      <w:r>
        <w:rPr>
          <w:b/>
        </w:rPr>
        <w:t>Observation 1</w:t>
      </w:r>
      <w:r w:rsidR="007A024E">
        <w:t>: no need to distinguish LCHs with the same mapping to numerologies/TTI length from SR point of view.</w:t>
      </w:r>
    </w:p>
    <w:p w14:paraId="39175525" w14:textId="5078AC73" w:rsidR="00384F78" w:rsidRDefault="003272E1" w:rsidP="007A024E">
      <w:pPr>
        <w:pStyle w:val="B1"/>
        <w:ind w:left="0" w:firstLine="0"/>
      </w:pPr>
      <w:r>
        <w:rPr>
          <w:b/>
        </w:rPr>
        <w:t>Observation 2</w:t>
      </w:r>
      <w:r w:rsidR="00384F78">
        <w:t>: no need to support one SR configuration per numerology</w:t>
      </w:r>
      <w:r w:rsidR="007A024E">
        <w:t>/TTI length considering the number of LCHs that have different mapping could be less than the number of numerologies</w:t>
      </w:r>
      <w:r w:rsidR="00384F78">
        <w:t>.</w:t>
      </w:r>
    </w:p>
    <w:p w14:paraId="51541933" w14:textId="7DC3BC8D" w:rsidR="000777E0" w:rsidRDefault="003C4E1D" w:rsidP="00000ABE">
      <w:pPr>
        <w:pStyle w:val="B1"/>
        <w:ind w:left="0" w:firstLine="0"/>
      </w:pPr>
      <w:r>
        <w:t>One straightforward option could be to explicitly configure each LCH which SR configuration it should map to, but it could be redundant since typically the SR mapping should be linked to the LCH to numerology/TTI length mapping, hence possible to be derived from configuration. For the given example,</w:t>
      </w:r>
      <w:r w:rsidR="00262198">
        <w:t xml:space="preserve"> </w:t>
      </w:r>
      <w:r>
        <w:t xml:space="preserve">even though </w:t>
      </w:r>
      <w:r w:rsidR="00262198">
        <w:t xml:space="preserve">LCH3 </w:t>
      </w:r>
      <w:r>
        <w:t xml:space="preserve">can use PCell </w:t>
      </w:r>
      <w:r w:rsidR="00262198">
        <w:t>(</w:t>
      </w:r>
      <w:r>
        <w:t>with 0.</w:t>
      </w:r>
      <w:r w:rsidR="00262198">
        <w:t xml:space="preserve">5ms and 0.25ms TTI length), it </w:t>
      </w:r>
      <w:r>
        <w:t>should not use SR on PCell with 1ms TTI lengt</w:t>
      </w:r>
      <w:r w:rsidR="00262198">
        <w:t xml:space="preserve">h but to use SR configuration #2 on SCell with 0.5ms TTI length. While for LCH1 and LCH2, even though they can use both PCell and SCell, </w:t>
      </w:r>
      <w:r w:rsidR="0024446C">
        <w:t>it</w:t>
      </w:r>
      <w:r w:rsidR="00262198">
        <w:t xml:space="preserve"> should use SR configuration #1 on PCell to be distinguished from LCH3. </w:t>
      </w:r>
      <w:r w:rsidR="00EC2CA9">
        <w:t>In other word, the TTI length of the SR should not be larger than the longest TTI length of the LCH that is mapped to, i.e. SR configuration selection should be based on the longest TTI length that the LCH that triggered the SR is mapped to.</w:t>
      </w:r>
    </w:p>
    <w:p w14:paraId="69772A92" w14:textId="3F62463F" w:rsidR="00EC2CA9" w:rsidRDefault="00EC2CA9" w:rsidP="00000ABE">
      <w:pPr>
        <w:pStyle w:val="B1"/>
        <w:ind w:left="0" w:firstLine="0"/>
      </w:pPr>
      <w:r w:rsidRPr="00EC2CA9">
        <w:rPr>
          <w:b/>
        </w:rPr>
        <w:t xml:space="preserve">Proposal </w:t>
      </w:r>
      <w:r w:rsidR="003272E1">
        <w:rPr>
          <w:b/>
        </w:rPr>
        <w:t>1</w:t>
      </w:r>
      <w:r>
        <w:t xml:space="preserve">: </w:t>
      </w:r>
      <w:r w:rsidR="0099351F">
        <w:t xml:space="preserve">Discuss if </w:t>
      </w:r>
      <w:r>
        <w:t xml:space="preserve">SR configuration selection should be based on </w:t>
      </w:r>
      <w:r w:rsidR="0099351F">
        <w:t xml:space="preserve">explicit RRC configuration of LCH to SR configuration mapping or implicitly based on </w:t>
      </w:r>
      <w:r>
        <w:t>the longest TTI length that the LCH that triggered the SR is mapped to.</w:t>
      </w:r>
    </w:p>
    <w:p w14:paraId="63456726" w14:textId="0C1194CF" w:rsidR="00D64E1B" w:rsidRDefault="00D64E1B" w:rsidP="00000ABE">
      <w:pPr>
        <w:pStyle w:val="B1"/>
        <w:ind w:left="0" w:firstLine="0"/>
      </w:pPr>
      <w:r w:rsidRPr="00D64E1B">
        <w:rPr>
          <w:b/>
        </w:rPr>
        <w:t xml:space="preserve">Proposal </w:t>
      </w:r>
      <w:r w:rsidR="003272E1">
        <w:rPr>
          <w:b/>
        </w:rPr>
        <w:t>2</w:t>
      </w:r>
      <w:r>
        <w:t xml:space="preserve">: </w:t>
      </w:r>
      <w:r w:rsidR="004B4637">
        <w:t>T</w:t>
      </w:r>
      <w:r>
        <w:t xml:space="preserve">he </w:t>
      </w:r>
      <w:r w:rsidR="004B4637">
        <w:t>mapping</w:t>
      </w:r>
      <w:r>
        <w:t xml:space="preserve"> is applicable to SR retransmission as well for the gNB to distinguish different UL grant requested.</w:t>
      </w:r>
    </w:p>
    <w:p w14:paraId="11E356F4" w14:textId="2429365E" w:rsidR="00A1647B" w:rsidRPr="006E13D1" w:rsidRDefault="00A1647B" w:rsidP="00A1647B">
      <w:pPr>
        <w:pStyle w:val="Heading2"/>
      </w:pPr>
      <w:r>
        <w:t>2</w:t>
      </w:r>
      <w:r w:rsidRPr="006E13D1">
        <w:t>.</w:t>
      </w:r>
      <w:r>
        <w:t>2</w:t>
      </w:r>
      <w:r w:rsidRPr="006E13D1">
        <w:tab/>
      </w:r>
      <w:r>
        <w:t>SR cancellation</w:t>
      </w:r>
    </w:p>
    <w:p w14:paraId="20C491BE" w14:textId="78DE247C" w:rsidR="00EC2CA9" w:rsidRDefault="00D64E1B" w:rsidP="00000ABE">
      <w:pPr>
        <w:pStyle w:val="B1"/>
        <w:ind w:left="0" w:firstLine="0"/>
      </w:pPr>
      <w:r>
        <w:t>For SR cancellation, in LTE, “</w:t>
      </w:r>
      <w:r w:rsidRPr="00D64E1B">
        <w:rPr>
          <w:i/>
          <w:noProof/>
        </w:rPr>
        <w:t>All pending SR(s) shall be cancelled and sr-ProhibitTimer shall be stopped when a MAC PDU is assembled and this PDU includes a BSR which contains buffer status up to (and including) the last event that triggered a BSR (see subclause 5.4.5), or when the UL grant(s) can accommodate all pending data available for transmission</w:t>
      </w:r>
      <w:r>
        <w:rPr>
          <w:noProof/>
        </w:rPr>
        <w:t>”. Upon receptio</w:t>
      </w:r>
      <w:r w:rsidR="00BB7E09">
        <w:rPr>
          <w:noProof/>
        </w:rPr>
        <w:t>n</w:t>
      </w:r>
      <w:r>
        <w:rPr>
          <w:noProof/>
        </w:rPr>
        <w:t xml:space="preserve"> of the BSR the gNB gets the information of which LCGs has data for transmission even if the BSR is not send on a UL grant of the “correct” numerology/TTI length. Same cancellation mechanism should be applicable to NR</w:t>
      </w:r>
      <w:r w:rsidR="001B5D36">
        <w:rPr>
          <w:noProof/>
        </w:rPr>
        <w:t xml:space="preserve"> as well</w:t>
      </w:r>
      <w:r>
        <w:rPr>
          <w:noProof/>
        </w:rPr>
        <w:t>.</w:t>
      </w:r>
    </w:p>
    <w:p w14:paraId="44BF9F37" w14:textId="280D79DE" w:rsidR="00262198" w:rsidRDefault="00D64E1B" w:rsidP="00000ABE">
      <w:pPr>
        <w:pStyle w:val="B1"/>
        <w:ind w:left="0" w:firstLine="0"/>
        <w:rPr>
          <w:noProof/>
        </w:rPr>
      </w:pPr>
      <w:r w:rsidRPr="00D64E1B">
        <w:rPr>
          <w:b/>
        </w:rPr>
        <w:t xml:space="preserve">Proposal </w:t>
      </w:r>
      <w:r w:rsidR="003272E1">
        <w:rPr>
          <w:b/>
        </w:rPr>
        <w:t>3</w:t>
      </w:r>
      <w:r>
        <w:t xml:space="preserve">: as in LTE, </w:t>
      </w:r>
      <w:r w:rsidRPr="00D64E1B">
        <w:rPr>
          <w:i/>
          <w:noProof/>
        </w:rPr>
        <w:t>All pending SR(s) shall be cancelled and sr-ProhibitTimer shall be stopped when a MAC PDU is assembled and this PDU includes a BSR which contains buffer status up to (and including) the last event that triggered a BSR, or when the UL grant(s) can accommodate all pending data available for transmission</w:t>
      </w:r>
      <w:r>
        <w:rPr>
          <w:noProof/>
        </w:rPr>
        <w:t>.</w:t>
      </w:r>
    </w:p>
    <w:p w14:paraId="7A742303" w14:textId="3E6CBC41" w:rsidR="00A1647B" w:rsidRPr="006E13D1" w:rsidRDefault="00A1647B" w:rsidP="00A1647B">
      <w:pPr>
        <w:pStyle w:val="Heading2"/>
      </w:pPr>
      <w:r>
        <w:t>2</w:t>
      </w:r>
      <w:r w:rsidRPr="006E13D1">
        <w:t>.</w:t>
      </w:r>
      <w:r>
        <w:t>3</w:t>
      </w:r>
      <w:r w:rsidRPr="006E13D1">
        <w:tab/>
      </w:r>
      <w:r>
        <w:t>Timers</w:t>
      </w:r>
    </w:p>
    <w:p w14:paraId="35D73A0E" w14:textId="54702D23" w:rsidR="00D64E1B" w:rsidRDefault="00A1647B" w:rsidP="00A1647B">
      <w:pPr>
        <w:pStyle w:val="B1"/>
        <w:ind w:left="0" w:firstLine="0"/>
        <w:rPr>
          <w:noProof/>
        </w:rPr>
      </w:pPr>
      <w:r>
        <w:t xml:space="preserve"> </w:t>
      </w:r>
      <w:r w:rsidR="00D64E1B">
        <w:t xml:space="preserve">For timers, </w:t>
      </w:r>
      <w:r w:rsidR="00D64E1B" w:rsidRPr="00D35E59">
        <w:rPr>
          <w:i/>
          <w:noProof/>
        </w:rPr>
        <w:t>logicalChannelSR</w:t>
      </w:r>
      <w:r w:rsidR="00D64E1B">
        <w:rPr>
          <w:i/>
          <w:noProof/>
        </w:rPr>
        <w:t>-</w:t>
      </w:r>
      <w:r w:rsidR="00D64E1B" w:rsidRPr="00D35E59">
        <w:rPr>
          <w:i/>
          <w:noProof/>
        </w:rPr>
        <w:t>ProhibitTimer</w:t>
      </w:r>
      <w:r w:rsidR="00D64E1B">
        <w:rPr>
          <w:noProof/>
        </w:rPr>
        <w:t xml:space="preserve"> and </w:t>
      </w:r>
      <w:r w:rsidR="00D64E1B" w:rsidRPr="002F4F3B">
        <w:rPr>
          <w:i/>
          <w:noProof/>
        </w:rPr>
        <w:t>sr-ProhibitTimer</w:t>
      </w:r>
      <w:r w:rsidR="00D64E1B">
        <w:rPr>
          <w:noProof/>
        </w:rPr>
        <w:t xml:space="preserve"> were agreed to be adopted for NR. </w:t>
      </w:r>
      <w:r w:rsidR="00063EC8" w:rsidRPr="00D35E59">
        <w:rPr>
          <w:i/>
          <w:noProof/>
        </w:rPr>
        <w:t>logicalChannelSR</w:t>
      </w:r>
      <w:r w:rsidR="00063EC8">
        <w:rPr>
          <w:i/>
          <w:noProof/>
        </w:rPr>
        <w:t>-</w:t>
      </w:r>
      <w:r w:rsidR="00063EC8" w:rsidRPr="00D35E59">
        <w:rPr>
          <w:i/>
          <w:noProof/>
        </w:rPr>
        <w:t>ProhibitTimer</w:t>
      </w:r>
      <w:r w:rsidR="00063EC8">
        <w:rPr>
          <w:noProof/>
        </w:rPr>
        <w:t xml:space="preserve"> is used to delay certain SR triggered by certain LCHs and </w:t>
      </w:r>
      <w:r w:rsidR="00063EC8" w:rsidRPr="002F4F3B">
        <w:rPr>
          <w:i/>
          <w:noProof/>
        </w:rPr>
        <w:t>sr-ProhibitTimer</w:t>
      </w:r>
      <w:r w:rsidR="00063EC8">
        <w:rPr>
          <w:i/>
          <w:noProof/>
        </w:rPr>
        <w:t xml:space="preserve"> </w:t>
      </w:r>
      <w:r w:rsidR="00063EC8">
        <w:rPr>
          <w:noProof/>
        </w:rPr>
        <w:t>is used to prohibit too frequent</w:t>
      </w:r>
      <w:r w:rsidR="003272E1">
        <w:rPr>
          <w:noProof/>
        </w:rPr>
        <w:t xml:space="preserve"> SR transmissions.</w:t>
      </w:r>
      <w:r w:rsidR="00063EC8">
        <w:rPr>
          <w:noProof/>
        </w:rPr>
        <w:t xml:space="preserve"> </w:t>
      </w:r>
      <w:r w:rsidR="001B5D36">
        <w:t xml:space="preserve">With the possibility of mapping different LCHs that has different delay requirement to different SR configurations, there seems no need to introduce per LCH </w:t>
      </w:r>
      <w:r w:rsidR="001B5D36" w:rsidRPr="00D35E59">
        <w:rPr>
          <w:i/>
          <w:noProof/>
        </w:rPr>
        <w:t>logicalChannelSR</w:t>
      </w:r>
      <w:r w:rsidR="001B5D36">
        <w:rPr>
          <w:i/>
          <w:noProof/>
        </w:rPr>
        <w:t>-</w:t>
      </w:r>
      <w:r w:rsidR="001B5D36" w:rsidRPr="00D35E59">
        <w:rPr>
          <w:i/>
          <w:noProof/>
        </w:rPr>
        <w:t>ProhibitTimer</w:t>
      </w:r>
      <w:r w:rsidR="001B5D36">
        <w:rPr>
          <w:noProof/>
        </w:rPr>
        <w:t xml:space="preserve">. </w:t>
      </w:r>
    </w:p>
    <w:p w14:paraId="764A28A3" w14:textId="3E41A3D7" w:rsidR="00D64E1B" w:rsidRDefault="00BC7B7D" w:rsidP="00000ABE">
      <w:pPr>
        <w:pStyle w:val="B1"/>
        <w:ind w:left="0" w:firstLine="0"/>
        <w:rPr>
          <w:noProof/>
        </w:rPr>
      </w:pPr>
      <w:r>
        <w:rPr>
          <w:noProof/>
        </w:rPr>
        <w:t>(</w:t>
      </w:r>
      <w:r w:rsidR="00D64E1B">
        <w:rPr>
          <w:noProof/>
        </w:rPr>
        <w:t xml:space="preserve">Note that there are some mis-alignment in LTE MAC and RRC specifications regarding to </w:t>
      </w:r>
      <w:r w:rsidR="00D64E1B" w:rsidRPr="00D35E59">
        <w:rPr>
          <w:i/>
          <w:noProof/>
        </w:rPr>
        <w:t>logicalChannelSR</w:t>
      </w:r>
      <w:r w:rsidR="00D64E1B">
        <w:rPr>
          <w:i/>
          <w:noProof/>
        </w:rPr>
        <w:t>-</w:t>
      </w:r>
      <w:r w:rsidR="00D64E1B" w:rsidRPr="00D35E59">
        <w:rPr>
          <w:i/>
          <w:noProof/>
        </w:rPr>
        <w:t>ProhibitTimer</w:t>
      </w:r>
      <w:r w:rsidR="00D64E1B">
        <w:rPr>
          <w:i/>
          <w:noProof/>
        </w:rPr>
        <w:t xml:space="preserve">. </w:t>
      </w:r>
      <w:r w:rsidR="00D64E1B">
        <w:rPr>
          <w:noProof/>
        </w:rPr>
        <w:t xml:space="preserve">In RRC there are two different parameters, per LCH parameter </w:t>
      </w:r>
      <w:r w:rsidR="00D64E1B" w:rsidRPr="00D64E1B">
        <w:rPr>
          <w:i/>
          <w:noProof/>
        </w:rPr>
        <w:t>logicalChannelSR-Prohibit</w:t>
      </w:r>
      <w:r w:rsidR="00D64E1B" w:rsidRPr="00063EC8">
        <w:rPr>
          <w:noProof/>
        </w:rPr>
        <w:t xml:space="preserve"> </w:t>
      </w:r>
      <w:r w:rsidR="00063EC8" w:rsidRPr="00063EC8">
        <w:rPr>
          <w:noProof/>
        </w:rPr>
        <w:t xml:space="preserve">which </w:t>
      </w:r>
      <w:r w:rsidR="00D64E1B">
        <w:rPr>
          <w:noProof/>
        </w:rPr>
        <w:t xml:space="preserve">can be set to true/false and per MAC entity </w:t>
      </w:r>
      <w:r w:rsidR="00D64E1B" w:rsidRPr="00D35E59">
        <w:rPr>
          <w:i/>
          <w:noProof/>
        </w:rPr>
        <w:t>logicalChannelSR</w:t>
      </w:r>
      <w:r w:rsidR="00D64E1B">
        <w:rPr>
          <w:i/>
          <w:noProof/>
        </w:rPr>
        <w:t>-</w:t>
      </w:r>
      <w:r w:rsidR="00D64E1B" w:rsidRPr="00D35E59">
        <w:rPr>
          <w:i/>
          <w:noProof/>
        </w:rPr>
        <w:t>ProhibitTimer</w:t>
      </w:r>
      <w:r w:rsidR="00D64E1B">
        <w:rPr>
          <w:noProof/>
        </w:rPr>
        <w:t xml:space="preserve"> applicable to the LCHs with </w:t>
      </w:r>
      <w:r w:rsidR="00D64E1B" w:rsidRPr="00D64E1B">
        <w:rPr>
          <w:i/>
          <w:noProof/>
        </w:rPr>
        <w:t>logicalChannelSR-Prohibit</w:t>
      </w:r>
      <w:r w:rsidR="00D64E1B">
        <w:rPr>
          <w:i/>
          <w:noProof/>
        </w:rPr>
        <w:t xml:space="preserve"> </w:t>
      </w:r>
      <w:r w:rsidR="00D64E1B">
        <w:rPr>
          <w:noProof/>
        </w:rPr>
        <w:t xml:space="preserve">set to true. While the parameter </w:t>
      </w:r>
      <w:r w:rsidR="00D64E1B" w:rsidRPr="00D64E1B">
        <w:rPr>
          <w:i/>
          <w:noProof/>
        </w:rPr>
        <w:t>logicalChannelSR-Prohibit</w:t>
      </w:r>
      <w:r w:rsidR="00D64E1B">
        <w:rPr>
          <w:i/>
          <w:noProof/>
        </w:rPr>
        <w:t xml:space="preserve"> </w:t>
      </w:r>
      <w:r w:rsidR="00D64E1B">
        <w:rPr>
          <w:noProof/>
        </w:rPr>
        <w:t>was not used at all</w:t>
      </w:r>
      <w:r w:rsidR="00063EC8">
        <w:rPr>
          <w:noProof/>
        </w:rPr>
        <w:t xml:space="preserve"> in MAC</w:t>
      </w:r>
      <w:r w:rsidR="00D64E1B">
        <w:rPr>
          <w:noProof/>
        </w:rPr>
        <w:t xml:space="preserve"> and </w:t>
      </w:r>
      <w:r w:rsidR="00D64E1B" w:rsidRPr="00D35E59">
        <w:rPr>
          <w:i/>
          <w:noProof/>
        </w:rPr>
        <w:t>logicalChannelSR</w:t>
      </w:r>
      <w:r w:rsidR="00D64E1B">
        <w:rPr>
          <w:i/>
          <w:noProof/>
        </w:rPr>
        <w:t>-</w:t>
      </w:r>
      <w:r w:rsidR="00D64E1B" w:rsidRPr="00D35E59">
        <w:rPr>
          <w:i/>
          <w:noProof/>
        </w:rPr>
        <w:t>ProhibitTimer</w:t>
      </w:r>
      <w:r w:rsidR="00D64E1B">
        <w:rPr>
          <w:noProof/>
        </w:rPr>
        <w:t xml:space="preserve"> </w:t>
      </w:r>
      <w:r w:rsidR="00063EC8">
        <w:rPr>
          <w:noProof/>
        </w:rPr>
        <w:t>considered as per LCH</w:t>
      </w:r>
      <w:r w:rsidR="00D64E1B">
        <w:rPr>
          <w:noProof/>
        </w:rPr>
        <w:t>.</w:t>
      </w:r>
      <w:r>
        <w:rPr>
          <w:noProof/>
        </w:rPr>
        <w:t>)</w:t>
      </w:r>
    </w:p>
    <w:p w14:paraId="2D34CAE8" w14:textId="482599FB" w:rsidR="00831D58" w:rsidRDefault="00831D58" w:rsidP="00831D58">
      <w:pPr>
        <w:pStyle w:val="B1"/>
        <w:ind w:left="0" w:firstLine="0"/>
        <w:rPr>
          <w:noProof/>
        </w:rPr>
      </w:pPr>
      <w:r w:rsidRPr="00D64E1B">
        <w:rPr>
          <w:b/>
        </w:rPr>
        <w:lastRenderedPageBreak/>
        <w:t xml:space="preserve">Proposal </w:t>
      </w:r>
      <w:r>
        <w:rPr>
          <w:b/>
        </w:rPr>
        <w:t>4</w:t>
      </w:r>
      <w:r>
        <w:t xml:space="preserve">: as in LTE, </w:t>
      </w:r>
      <w:r w:rsidRPr="00D35E59">
        <w:rPr>
          <w:i/>
          <w:noProof/>
        </w:rPr>
        <w:t>logicalChannelSR</w:t>
      </w:r>
      <w:r>
        <w:rPr>
          <w:i/>
          <w:noProof/>
        </w:rPr>
        <w:t>-</w:t>
      </w:r>
      <w:r w:rsidRPr="00D35E59">
        <w:rPr>
          <w:i/>
          <w:noProof/>
        </w:rPr>
        <w:t>ProhibitTimer</w:t>
      </w:r>
      <w:r>
        <w:rPr>
          <w:noProof/>
        </w:rPr>
        <w:t xml:space="preserve"> is per MAC entity and applies to which LCHs can be configured separately with per LCH parameter </w:t>
      </w:r>
      <w:r w:rsidRPr="00D64E1B">
        <w:rPr>
          <w:i/>
          <w:noProof/>
        </w:rPr>
        <w:t>logicalChannelSR-Prohibit</w:t>
      </w:r>
      <w:r>
        <w:rPr>
          <w:noProof/>
        </w:rPr>
        <w:t>.</w:t>
      </w:r>
    </w:p>
    <w:p w14:paraId="1D76FF42" w14:textId="09F8D5D9" w:rsidR="00BC7B7D" w:rsidRDefault="00BC7B7D" w:rsidP="00831D58">
      <w:pPr>
        <w:pStyle w:val="B1"/>
        <w:ind w:left="0" w:firstLine="0"/>
        <w:rPr>
          <w:b/>
          <w:noProof/>
        </w:rPr>
      </w:pPr>
      <w:r>
        <w:rPr>
          <w:noProof/>
        </w:rPr>
        <w:t xml:space="preserve">In LTE, it is already possible to have multiple SR configurations on PCell and PUCCH Scell and </w:t>
      </w:r>
      <w:r w:rsidRPr="00BC7B7D">
        <w:rPr>
          <w:i/>
          <w:noProof/>
        </w:rPr>
        <w:t>sr</w:t>
      </w:r>
      <w:r w:rsidRPr="002F4F3B">
        <w:rPr>
          <w:i/>
          <w:noProof/>
        </w:rPr>
        <w:t>-ProhibitTimer</w:t>
      </w:r>
      <w:r>
        <w:rPr>
          <w:noProof/>
        </w:rPr>
        <w:t xml:space="preserve"> is </w:t>
      </w:r>
      <w:r w:rsidRPr="00FC0DF3">
        <w:rPr>
          <w:noProof/>
          <w:lang w:eastAsia="en-GB"/>
        </w:rPr>
        <w:t>in number of SR period(s)</w:t>
      </w:r>
      <w:r w:rsidRPr="001B51D6">
        <w:rPr>
          <w:lang w:eastAsia="en-GB"/>
        </w:rPr>
        <w:t xml:space="preserve"> </w:t>
      </w:r>
      <w:r w:rsidRPr="00103E3D">
        <w:rPr>
          <w:lang w:eastAsia="en-GB"/>
        </w:rPr>
        <w:t>of shortest SR period of any serving cell with PUCCH</w:t>
      </w:r>
      <w:r w:rsidRPr="00FC0DF3">
        <w:rPr>
          <w:noProof/>
          <w:lang w:eastAsia="en-GB"/>
        </w:rPr>
        <w:t>.</w:t>
      </w:r>
      <w:r>
        <w:rPr>
          <w:noProof/>
          <w:lang w:eastAsia="en-GB"/>
        </w:rPr>
        <w:t xml:space="preserve"> Same could be applicable to NR considering it is to prevent too frequent SR transmissions before the gNB can respond. If periodicity is longer than the configured number of SR period of the shortest SR period, then no prohibit needs to be applied to that PUCCH.</w:t>
      </w:r>
    </w:p>
    <w:p w14:paraId="65911B02" w14:textId="29758B8A" w:rsidR="00831D58" w:rsidRPr="00831D58" w:rsidRDefault="00831D58" w:rsidP="00831D58">
      <w:pPr>
        <w:pStyle w:val="B1"/>
        <w:ind w:left="0" w:firstLine="0"/>
        <w:rPr>
          <w:noProof/>
        </w:rPr>
      </w:pPr>
      <w:r w:rsidRPr="00831D58">
        <w:rPr>
          <w:b/>
          <w:noProof/>
        </w:rPr>
        <w:t>Proposal 5</w:t>
      </w:r>
      <w:r>
        <w:rPr>
          <w:noProof/>
        </w:rPr>
        <w:t xml:space="preserve">: </w:t>
      </w:r>
      <w:r>
        <w:t>as in LTE</w:t>
      </w:r>
      <w:r w:rsidRPr="00831D58">
        <w:rPr>
          <w:i/>
          <w:noProof/>
        </w:rPr>
        <w:t xml:space="preserve"> </w:t>
      </w:r>
      <w:r w:rsidRPr="002F4F3B">
        <w:rPr>
          <w:i/>
          <w:noProof/>
        </w:rPr>
        <w:t>sr-ProhibitTimer</w:t>
      </w:r>
      <w:r>
        <w:rPr>
          <w:noProof/>
        </w:rPr>
        <w:t xml:space="preserve"> is per MAC entity.</w:t>
      </w:r>
    </w:p>
    <w:p w14:paraId="43A12B72" w14:textId="62119577" w:rsidR="00CD4C7B" w:rsidRPr="006E13D1" w:rsidRDefault="003272E1" w:rsidP="00CD4C7B">
      <w:pPr>
        <w:pStyle w:val="Heading1"/>
      </w:pPr>
      <w:r>
        <w:t>3</w:t>
      </w:r>
      <w:r w:rsidR="00CD4C7B" w:rsidRPr="006E13D1">
        <w:tab/>
      </w:r>
      <w:r>
        <w:t>Conclusion</w:t>
      </w:r>
    </w:p>
    <w:p w14:paraId="190C81D1" w14:textId="3EF23B18" w:rsidR="00CD4C7B" w:rsidRDefault="003272E1" w:rsidP="00CD4C7B">
      <w:r>
        <w:t xml:space="preserve">Details on SR procedures are discussed in this contribution with the following </w:t>
      </w:r>
      <w:r w:rsidR="00A1647B">
        <w:t xml:space="preserve">observations and </w:t>
      </w:r>
      <w:r>
        <w:t xml:space="preserve">proposals </w:t>
      </w:r>
      <w:r w:rsidR="00274513">
        <w:t>made</w:t>
      </w:r>
      <w:r>
        <w:t>:</w:t>
      </w:r>
    </w:p>
    <w:p w14:paraId="273F1C02" w14:textId="77777777" w:rsidR="00A1647B" w:rsidRDefault="00A1647B" w:rsidP="00A1647B">
      <w:pPr>
        <w:pStyle w:val="B1"/>
        <w:ind w:left="0" w:firstLine="0"/>
      </w:pPr>
      <w:r>
        <w:rPr>
          <w:b/>
        </w:rPr>
        <w:t>Observation 1</w:t>
      </w:r>
      <w:r>
        <w:t>: no need to distinguish LCHs with the same mapping to numerologies/TTI length from SR point of view.</w:t>
      </w:r>
    </w:p>
    <w:p w14:paraId="3B2240F5" w14:textId="77777777" w:rsidR="00A1647B" w:rsidRDefault="00A1647B" w:rsidP="00A1647B">
      <w:pPr>
        <w:pStyle w:val="B1"/>
        <w:ind w:left="0" w:firstLine="0"/>
      </w:pPr>
      <w:r>
        <w:rPr>
          <w:b/>
        </w:rPr>
        <w:t>Observation 2</w:t>
      </w:r>
      <w:r>
        <w:t>: no need to support one SR configuration per numerology/TTI length considering the number of LCHs that have different mapping could be less than the number of numerologies.</w:t>
      </w:r>
    </w:p>
    <w:p w14:paraId="06F398A1" w14:textId="77777777" w:rsidR="009728AB" w:rsidRDefault="009728AB" w:rsidP="009728AB">
      <w:pPr>
        <w:pStyle w:val="B1"/>
        <w:ind w:left="0" w:firstLine="0"/>
      </w:pPr>
      <w:r w:rsidRPr="00EC2CA9">
        <w:rPr>
          <w:b/>
        </w:rPr>
        <w:t xml:space="preserve">Proposal </w:t>
      </w:r>
      <w:r>
        <w:rPr>
          <w:b/>
        </w:rPr>
        <w:t>1</w:t>
      </w:r>
      <w:r>
        <w:t>: Discuss if SR configuration selection should be based on explicit RRC configuration of LCH to SR configuration mapping or implicitly based on the longest TTI length that the LCH that triggered the SR is mapped to.</w:t>
      </w:r>
    </w:p>
    <w:p w14:paraId="053C2165" w14:textId="559FD5F0" w:rsidR="00831D58" w:rsidRDefault="00831D58" w:rsidP="00831D58">
      <w:pPr>
        <w:pStyle w:val="B1"/>
        <w:ind w:left="0" w:firstLine="0"/>
      </w:pPr>
      <w:r w:rsidRPr="00D64E1B">
        <w:rPr>
          <w:b/>
        </w:rPr>
        <w:t xml:space="preserve">Proposal </w:t>
      </w:r>
      <w:r>
        <w:rPr>
          <w:b/>
        </w:rPr>
        <w:t>2</w:t>
      </w:r>
      <w:r w:rsidR="00B46375">
        <w:t>: T</w:t>
      </w:r>
      <w:r>
        <w:t xml:space="preserve">he </w:t>
      </w:r>
      <w:r w:rsidR="00B46375">
        <w:t>mapping</w:t>
      </w:r>
      <w:r>
        <w:t xml:space="preserve"> is applicable to SR retransmission as well for the gNB to distinguish different UL grant requested.</w:t>
      </w:r>
    </w:p>
    <w:p w14:paraId="32BB2A7F" w14:textId="77777777" w:rsidR="00831D58" w:rsidRDefault="00831D58" w:rsidP="00831D58">
      <w:pPr>
        <w:pStyle w:val="B1"/>
        <w:ind w:left="0" w:firstLine="0"/>
        <w:rPr>
          <w:noProof/>
        </w:rPr>
      </w:pPr>
      <w:r w:rsidRPr="00D64E1B">
        <w:rPr>
          <w:b/>
        </w:rPr>
        <w:t xml:space="preserve">Proposal </w:t>
      </w:r>
      <w:r>
        <w:rPr>
          <w:b/>
        </w:rPr>
        <w:t>3</w:t>
      </w:r>
      <w:r>
        <w:t xml:space="preserve">: as in LTE, </w:t>
      </w:r>
      <w:r w:rsidRPr="00D64E1B">
        <w:rPr>
          <w:i/>
          <w:noProof/>
        </w:rPr>
        <w:t>All pending SR(s) shall be cancelled and sr-ProhibitTimer shall be stopped when a MAC PDU is assembled and this PDU includes a BSR which contains buffer status up to (and including) the last event that triggered a BSR, or when the UL grant(s) can accommodate all pending data available for transmission</w:t>
      </w:r>
      <w:r>
        <w:rPr>
          <w:noProof/>
        </w:rPr>
        <w:t>.</w:t>
      </w:r>
    </w:p>
    <w:p w14:paraId="7E27444F" w14:textId="77777777" w:rsidR="00831D58" w:rsidRDefault="00831D58" w:rsidP="00831D58">
      <w:pPr>
        <w:pStyle w:val="B1"/>
        <w:ind w:left="0" w:firstLine="0"/>
        <w:rPr>
          <w:noProof/>
        </w:rPr>
      </w:pPr>
      <w:r w:rsidRPr="00D64E1B">
        <w:rPr>
          <w:b/>
        </w:rPr>
        <w:t xml:space="preserve">Proposal </w:t>
      </w:r>
      <w:r>
        <w:rPr>
          <w:b/>
        </w:rPr>
        <w:t>4</w:t>
      </w:r>
      <w:r>
        <w:t xml:space="preserve">: as in LTE, </w:t>
      </w:r>
      <w:r w:rsidRPr="00D35E59">
        <w:rPr>
          <w:i/>
          <w:noProof/>
        </w:rPr>
        <w:t>logicalChannelSR</w:t>
      </w:r>
      <w:r>
        <w:rPr>
          <w:i/>
          <w:noProof/>
        </w:rPr>
        <w:t>-</w:t>
      </w:r>
      <w:r w:rsidRPr="00D35E59">
        <w:rPr>
          <w:i/>
          <w:noProof/>
        </w:rPr>
        <w:t>ProhibitTimer</w:t>
      </w:r>
      <w:r>
        <w:rPr>
          <w:noProof/>
        </w:rPr>
        <w:t xml:space="preserve"> is per MAC entity and applies to which LCHs can be configured separately with per LCH parameter </w:t>
      </w:r>
      <w:r w:rsidRPr="00D64E1B">
        <w:rPr>
          <w:i/>
          <w:noProof/>
        </w:rPr>
        <w:t>logicalChannelSR-Prohibit</w:t>
      </w:r>
      <w:r>
        <w:rPr>
          <w:noProof/>
        </w:rPr>
        <w:t>.</w:t>
      </w:r>
      <w:bookmarkStart w:id="1" w:name="_GoBack"/>
      <w:bookmarkEnd w:id="1"/>
    </w:p>
    <w:p w14:paraId="4374885B" w14:textId="77777777" w:rsidR="00831D58" w:rsidRPr="00831D58" w:rsidRDefault="00831D58" w:rsidP="00831D58">
      <w:pPr>
        <w:pStyle w:val="B1"/>
        <w:ind w:left="0" w:firstLine="0"/>
        <w:rPr>
          <w:noProof/>
        </w:rPr>
      </w:pPr>
      <w:r w:rsidRPr="00831D58">
        <w:rPr>
          <w:b/>
          <w:noProof/>
        </w:rPr>
        <w:t>Proposal 5</w:t>
      </w:r>
      <w:r>
        <w:rPr>
          <w:noProof/>
        </w:rPr>
        <w:t xml:space="preserve">: </w:t>
      </w:r>
      <w:r>
        <w:t>as in LTE</w:t>
      </w:r>
      <w:r w:rsidRPr="00831D58">
        <w:rPr>
          <w:i/>
          <w:noProof/>
        </w:rPr>
        <w:t xml:space="preserve"> </w:t>
      </w:r>
      <w:r w:rsidRPr="002F4F3B">
        <w:rPr>
          <w:i/>
          <w:noProof/>
        </w:rPr>
        <w:t>sr-ProhibitTimer</w:t>
      </w:r>
      <w:r>
        <w:rPr>
          <w:noProof/>
        </w:rPr>
        <w:t xml:space="preserve"> is per MAC entity.</w:t>
      </w:r>
    </w:p>
    <w:p w14:paraId="0FDCFAC2" w14:textId="412FC07D" w:rsidR="00CD4C7B" w:rsidRPr="006E13D1" w:rsidRDefault="00CD4C7B" w:rsidP="00CD4C7B">
      <w:pPr>
        <w:pStyle w:val="Heading1"/>
      </w:pPr>
      <w:r w:rsidRPr="006E13D1">
        <w:t>References</w:t>
      </w:r>
    </w:p>
    <w:bookmarkStart w:id="2" w:name="_Ref75086397"/>
    <w:p w14:paraId="35F222F4" w14:textId="014FC037" w:rsidR="00080512" w:rsidRPr="00CD4C7B" w:rsidRDefault="00514FB9" w:rsidP="00514FB9">
      <w:pPr>
        <w:numPr>
          <w:ilvl w:val="0"/>
          <w:numId w:val="4"/>
        </w:numPr>
        <w:overflowPunct w:val="0"/>
        <w:autoSpaceDE w:val="0"/>
        <w:autoSpaceDN w:val="0"/>
        <w:adjustRightInd w:val="0"/>
        <w:textAlignment w:val="baseline"/>
      </w:pPr>
      <w:r>
        <w:fldChar w:fldCharType="begin"/>
      </w:r>
      <w:r>
        <w:instrText xml:space="preserve"> HYPERLINK "http://3gpp.org/ftp/tsg_ran/WG2_RL2/TSGR2_98/Docs/R2-1704030.zip" </w:instrText>
      </w:r>
      <w:r>
        <w:fldChar w:fldCharType="separate"/>
      </w:r>
      <w:r w:rsidRPr="007C614B">
        <w:rPr>
          <w:rStyle w:val="Hyperlink"/>
        </w:rPr>
        <w:t>R2-1704030</w:t>
      </w:r>
      <w:r>
        <w:rPr>
          <w:rStyle w:val="Hyperlink"/>
        </w:rPr>
        <w:fldChar w:fldCharType="end"/>
      </w:r>
      <w:r>
        <w:t xml:space="preserve">, </w:t>
      </w:r>
      <w:r w:rsidRPr="00514FB9">
        <w:rPr>
          <w:i/>
        </w:rPr>
        <w:t>RAN2 #98 NR UP minutes</w:t>
      </w:r>
      <w:bookmarkEnd w:id="2"/>
    </w:p>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F1FDC6" w14:textId="77777777" w:rsidR="00D854BE" w:rsidRDefault="00D854BE">
      <w:r>
        <w:separator/>
      </w:r>
    </w:p>
  </w:endnote>
  <w:endnote w:type="continuationSeparator" w:id="0">
    <w:p w14:paraId="07AA3BBB" w14:textId="77777777" w:rsidR="00D854BE" w:rsidRDefault="00D85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6E9861" w14:textId="77777777" w:rsidR="00D854BE" w:rsidRDefault="00D854BE">
      <w:r>
        <w:separator/>
      </w:r>
    </w:p>
  </w:footnote>
  <w:footnote w:type="continuationSeparator" w:id="0">
    <w:p w14:paraId="3B20A4A6" w14:textId="77777777" w:rsidR="00D854BE" w:rsidRDefault="00D854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46C1790"/>
    <w:multiLevelType w:val="hybridMultilevel"/>
    <w:tmpl w:val="9072CC28"/>
    <w:lvl w:ilvl="0" w:tplc="C0F4F14C">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ABE"/>
    <w:rsid w:val="00033397"/>
    <w:rsid w:val="00040095"/>
    <w:rsid w:val="0005223D"/>
    <w:rsid w:val="00063EC8"/>
    <w:rsid w:val="00064EE6"/>
    <w:rsid w:val="000777E0"/>
    <w:rsid w:val="00080512"/>
    <w:rsid w:val="00090468"/>
    <w:rsid w:val="000B7BCF"/>
    <w:rsid w:val="000C522B"/>
    <w:rsid w:val="000D58AB"/>
    <w:rsid w:val="00112F1A"/>
    <w:rsid w:val="00145075"/>
    <w:rsid w:val="001741A0"/>
    <w:rsid w:val="00194CD0"/>
    <w:rsid w:val="001B49C9"/>
    <w:rsid w:val="001B58B8"/>
    <w:rsid w:val="001B5D36"/>
    <w:rsid w:val="001F168B"/>
    <w:rsid w:val="001F7831"/>
    <w:rsid w:val="0020008F"/>
    <w:rsid w:val="00204045"/>
    <w:rsid w:val="0022606D"/>
    <w:rsid w:val="0024446C"/>
    <w:rsid w:val="00262198"/>
    <w:rsid w:val="00271A0B"/>
    <w:rsid w:val="0027308A"/>
    <w:rsid w:val="00274513"/>
    <w:rsid w:val="002747EC"/>
    <w:rsid w:val="002855BF"/>
    <w:rsid w:val="00292805"/>
    <w:rsid w:val="002F0D22"/>
    <w:rsid w:val="003172DC"/>
    <w:rsid w:val="00326069"/>
    <w:rsid w:val="003272E1"/>
    <w:rsid w:val="0035462D"/>
    <w:rsid w:val="00384F78"/>
    <w:rsid w:val="003B17AF"/>
    <w:rsid w:val="003B40AD"/>
    <w:rsid w:val="003C4E1D"/>
    <w:rsid w:val="003C4E37"/>
    <w:rsid w:val="003E16BE"/>
    <w:rsid w:val="004006E8"/>
    <w:rsid w:val="00401855"/>
    <w:rsid w:val="00477455"/>
    <w:rsid w:val="004774E8"/>
    <w:rsid w:val="0049178F"/>
    <w:rsid w:val="004B4637"/>
    <w:rsid w:val="004D3578"/>
    <w:rsid w:val="004D380D"/>
    <w:rsid w:val="004E213A"/>
    <w:rsid w:val="00503171"/>
    <w:rsid w:val="00506C28"/>
    <w:rsid w:val="00514FB9"/>
    <w:rsid w:val="00534DA0"/>
    <w:rsid w:val="00543E6C"/>
    <w:rsid w:val="00562235"/>
    <w:rsid w:val="00565087"/>
    <w:rsid w:val="0056573F"/>
    <w:rsid w:val="00611566"/>
    <w:rsid w:val="00646D99"/>
    <w:rsid w:val="00656910"/>
    <w:rsid w:val="006C66D8"/>
    <w:rsid w:val="006D1E24"/>
    <w:rsid w:val="006E1417"/>
    <w:rsid w:val="006F6A2C"/>
    <w:rsid w:val="00710201"/>
    <w:rsid w:val="007166F1"/>
    <w:rsid w:val="00734A5B"/>
    <w:rsid w:val="00744E76"/>
    <w:rsid w:val="00750FFA"/>
    <w:rsid w:val="00757D40"/>
    <w:rsid w:val="007748C5"/>
    <w:rsid w:val="0078137F"/>
    <w:rsid w:val="00781F0F"/>
    <w:rsid w:val="00787123"/>
    <w:rsid w:val="0078712A"/>
    <w:rsid w:val="0078727C"/>
    <w:rsid w:val="0079049D"/>
    <w:rsid w:val="007A024E"/>
    <w:rsid w:val="007B18D8"/>
    <w:rsid w:val="007C095F"/>
    <w:rsid w:val="008028A4"/>
    <w:rsid w:val="00813245"/>
    <w:rsid w:val="00813A59"/>
    <w:rsid w:val="00831D58"/>
    <w:rsid w:val="00861810"/>
    <w:rsid w:val="008768CA"/>
    <w:rsid w:val="00877EF9"/>
    <w:rsid w:val="00880559"/>
    <w:rsid w:val="008B5306"/>
    <w:rsid w:val="0090271F"/>
    <w:rsid w:val="00902DB9"/>
    <w:rsid w:val="0090466A"/>
    <w:rsid w:val="00927915"/>
    <w:rsid w:val="00936071"/>
    <w:rsid w:val="00940212"/>
    <w:rsid w:val="00942EC2"/>
    <w:rsid w:val="00961B32"/>
    <w:rsid w:val="00970DB3"/>
    <w:rsid w:val="009728AB"/>
    <w:rsid w:val="00974BB0"/>
    <w:rsid w:val="0099351F"/>
    <w:rsid w:val="009A0AF3"/>
    <w:rsid w:val="009B07CD"/>
    <w:rsid w:val="009C19E9"/>
    <w:rsid w:val="00A10F02"/>
    <w:rsid w:val="00A13DBF"/>
    <w:rsid w:val="00A1647B"/>
    <w:rsid w:val="00A204CA"/>
    <w:rsid w:val="00A53724"/>
    <w:rsid w:val="00A82346"/>
    <w:rsid w:val="00A87BF0"/>
    <w:rsid w:val="00A9671C"/>
    <w:rsid w:val="00AA1553"/>
    <w:rsid w:val="00AB2CF7"/>
    <w:rsid w:val="00AC55A0"/>
    <w:rsid w:val="00AF7F6E"/>
    <w:rsid w:val="00B15449"/>
    <w:rsid w:val="00B27330"/>
    <w:rsid w:val="00B27B9D"/>
    <w:rsid w:val="00B46375"/>
    <w:rsid w:val="00B47FD1"/>
    <w:rsid w:val="00B516BB"/>
    <w:rsid w:val="00BB7E09"/>
    <w:rsid w:val="00BC7B7D"/>
    <w:rsid w:val="00C12B51"/>
    <w:rsid w:val="00C24650"/>
    <w:rsid w:val="00C33079"/>
    <w:rsid w:val="00C83A13"/>
    <w:rsid w:val="00C9068C"/>
    <w:rsid w:val="00C92967"/>
    <w:rsid w:val="00CA3D0C"/>
    <w:rsid w:val="00CA654B"/>
    <w:rsid w:val="00CD4C7B"/>
    <w:rsid w:val="00D64E1B"/>
    <w:rsid w:val="00D738D6"/>
    <w:rsid w:val="00D75C36"/>
    <w:rsid w:val="00D80795"/>
    <w:rsid w:val="00D854BE"/>
    <w:rsid w:val="00D87E00"/>
    <w:rsid w:val="00D9134D"/>
    <w:rsid w:val="00D96D11"/>
    <w:rsid w:val="00DA47C8"/>
    <w:rsid w:val="00DA7A03"/>
    <w:rsid w:val="00DB1818"/>
    <w:rsid w:val="00DC0C8F"/>
    <w:rsid w:val="00DC309B"/>
    <w:rsid w:val="00DC4DA2"/>
    <w:rsid w:val="00E62835"/>
    <w:rsid w:val="00E77645"/>
    <w:rsid w:val="00E83697"/>
    <w:rsid w:val="00EC2CA9"/>
    <w:rsid w:val="00EC4A25"/>
    <w:rsid w:val="00F025A2"/>
    <w:rsid w:val="00F07388"/>
    <w:rsid w:val="00F2026E"/>
    <w:rsid w:val="00F2210A"/>
    <w:rsid w:val="00F37743"/>
    <w:rsid w:val="00F54A3D"/>
    <w:rsid w:val="00F54CB0"/>
    <w:rsid w:val="00F653B8"/>
    <w:rsid w:val="00F71A37"/>
    <w:rsid w:val="00F71B89"/>
    <w:rsid w:val="00F7353C"/>
    <w:rsid w:val="00F76F8F"/>
    <w:rsid w:val="00FA1266"/>
    <w:rsid w:val="00FB36FA"/>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7"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customStyle="1" w:styleId="Doc-text2">
    <w:name w:val="Doc-text2"/>
    <w:basedOn w:val="Normal"/>
    <w:link w:val="Doc-text2Char"/>
    <w:qFormat/>
    <w:rsid w:val="00B27B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27B9D"/>
    <w:rPr>
      <w:rFonts w:ascii="Arial" w:eastAsia="MS Mincho" w:hAnsi="Arial"/>
      <w:szCs w:val="24"/>
    </w:rPr>
  </w:style>
  <w:style w:type="character" w:customStyle="1" w:styleId="B2Char">
    <w:name w:val="B2 Char"/>
    <w:link w:val="B2"/>
    <w:rsid w:val="00D64E1B"/>
    <w:rPr>
      <w:lang w:eastAsia="en-US"/>
    </w:rPr>
  </w:style>
  <w:style w:type="character" w:customStyle="1" w:styleId="B3Char">
    <w:name w:val="B3 Char"/>
    <w:link w:val="B3"/>
    <w:rsid w:val="00D64E1B"/>
    <w:rPr>
      <w:lang w:eastAsia="en-US"/>
    </w:rPr>
  </w:style>
  <w:style w:type="paragraph" w:styleId="Revision">
    <w:name w:val="Revision"/>
    <w:hidden/>
    <w:uiPriority w:val="99"/>
    <w:semiHidden/>
    <w:rsid w:val="00514FB9"/>
    <w:rPr>
      <w:lang w:eastAsia="en-US"/>
    </w:rPr>
  </w:style>
  <w:style w:type="paragraph" w:styleId="BalloonText">
    <w:name w:val="Balloon Text"/>
    <w:basedOn w:val="Normal"/>
    <w:link w:val="BalloonTextChar"/>
    <w:rsid w:val="00514FB9"/>
    <w:pPr>
      <w:spacing w:after="0"/>
    </w:pPr>
    <w:rPr>
      <w:rFonts w:ascii="Segoe UI" w:hAnsi="Segoe UI" w:cs="Segoe UI"/>
      <w:sz w:val="18"/>
      <w:szCs w:val="18"/>
    </w:rPr>
  </w:style>
  <w:style w:type="character" w:customStyle="1" w:styleId="BalloonTextChar">
    <w:name w:val="Balloon Text Char"/>
    <w:basedOn w:val="DefaultParagraphFont"/>
    <w:link w:val="BalloonText"/>
    <w:rsid w:val="00514FB9"/>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1</TotalTime>
  <Pages>3</Pages>
  <Words>1280</Words>
  <Characters>7298</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8561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Wu, Chunli (Nokia - CN/Beijing)</dc:creator>
  <cp:lastModifiedBy>Chunli</cp:lastModifiedBy>
  <cp:revision>3</cp:revision>
  <dcterms:created xsi:type="dcterms:W3CDTF">2017-06-16T09:30:00Z</dcterms:created>
  <dcterms:modified xsi:type="dcterms:W3CDTF">2017-06-16T09:31:00Z</dcterms:modified>
</cp:coreProperties>
</file>